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B03C" w14:textId="77777777" w:rsidR="00455EBA" w:rsidRPr="00455EBA" w:rsidRDefault="00455EBA">
      <w:pPr>
        <w:rPr>
          <w:rFonts w:cstheme="minorHAnsi"/>
          <w:b/>
          <w:sz w:val="32"/>
          <w:szCs w:val="32"/>
        </w:rPr>
      </w:pPr>
      <w:r w:rsidRPr="00455EBA">
        <w:rPr>
          <w:rFonts w:cstheme="minorHAnsi"/>
          <w:b/>
          <w:sz w:val="32"/>
          <w:szCs w:val="32"/>
        </w:rPr>
        <w:t>SECOND LANGUAGE ACQUISITION THEORIES</w:t>
      </w:r>
    </w:p>
    <w:p w14:paraId="6F0253B4" w14:textId="59B5A4F3" w:rsidR="005B53C8" w:rsidRDefault="007E5172">
      <w:pPr>
        <w:rPr>
          <w:rFonts w:cstheme="minorHAnsi"/>
          <w:b/>
          <w:sz w:val="32"/>
          <w:szCs w:val="32"/>
        </w:rPr>
      </w:pPr>
      <w:r w:rsidRPr="00455EBA">
        <w:rPr>
          <w:rFonts w:cstheme="minorHAnsi"/>
          <w:b/>
          <w:sz w:val="32"/>
          <w:szCs w:val="32"/>
        </w:rPr>
        <w:t>BICS</w:t>
      </w:r>
      <w:r w:rsidR="00455EBA" w:rsidRPr="00455EBA">
        <w:rPr>
          <w:rFonts w:cstheme="minorHAnsi"/>
          <w:b/>
          <w:sz w:val="32"/>
          <w:szCs w:val="32"/>
        </w:rPr>
        <w:t>, CALP and CUP</w:t>
      </w:r>
    </w:p>
    <w:p w14:paraId="2885E9BA" w14:textId="77777777" w:rsidR="00C52099" w:rsidRPr="00455EBA" w:rsidRDefault="00C52099">
      <w:pPr>
        <w:rPr>
          <w:rFonts w:cstheme="minorHAnsi"/>
          <w:b/>
          <w:sz w:val="32"/>
          <w:szCs w:val="32"/>
        </w:rPr>
      </w:pPr>
    </w:p>
    <w:p w14:paraId="3108DCEA" w14:textId="2C44DE9D" w:rsidR="00870AEA" w:rsidRPr="00123B3A" w:rsidRDefault="00A610D0">
      <w:pPr>
        <w:rPr>
          <w:rFonts w:cstheme="minorHAnsi"/>
          <w:sz w:val="24"/>
          <w:szCs w:val="24"/>
          <w:shd w:val="clear" w:color="auto" w:fill="FFFFFF"/>
        </w:rPr>
      </w:pPr>
      <w:r w:rsidRPr="00123B3A">
        <w:rPr>
          <w:rFonts w:cstheme="minorHAnsi"/>
          <w:sz w:val="24"/>
          <w:szCs w:val="24"/>
          <w:shd w:val="clear" w:color="auto" w:fill="FFFFFF"/>
        </w:rPr>
        <w:t>Professor J Cummins is one of the world’s learning authorities on bilingual education and second language acquisition.  He (as cited in Baker, 2011) makes a distinction between two differing kinds of language proficiency.</w:t>
      </w:r>
    </w:p>
    <w:p w14:paraId="326F443A" w14:textId="691CFFAE" w:rsidR="00870AEA" w:rsidRPr="00123B3A" w:rsidRDefault="00455EBA">
      <w:pPr>
        <w:rPr>
          <w:rFonts w:cstheme="minorHAnsi"/>
          <w:sz w:val="24"/>
          <w:szCs w:val="24"/>
          <w:shd w:val="clear" w:color="auto" w:fill="FFFFFF"/>
        </w:rPr>
      </w:pPr>
      <w:r>
        <w:rPr>
          <w:rStyle w:val="FootnoteReference"/>
          <w:rFonts w:cstheme="minorHAnsi"/>
          <w:b/>
          <w:sz w:val="24"/>
          <w:szCs w:val="24"/>
          <w:shd w:val="clear" w:color="auto" w:fill="FFFFFF"/>
        </w:rPr>
        <w:footnoteReference w:id="1"/>
      </w:r>
      <w:r w:rsidR="00A610D0" w:rsidRPr="00870AEA">
        <w:rPr>
          <w:rFonts w:cstheme="minorHAnsi"/>
          <w:b/>
          <w:sz w:val="28"/>
          <w:szCs w:val="28"/>
          <w:shd w:val="clear" w:color="auto" w:fill="FFFFFF"/>
        </w:rPr>
        <w:t>BICS are Basic Interpersonal Communication Skills</w:t>
      </w:r>
      <w:r w:rsidR="00A610D0" w:rsidRPr="00123B3A">
        <w:rPr>
          <w:rFonts w:cstheme="minorHAnsi"/>
          <w:sz w:val="24"/>
          <w:szCs w:val="24"/>
          <w:shd w:val="clear" w:color="auto" w:fill="FFFFFF"/>
        </w:rPr>
        <w:t>, these are the “surface” skills of listening and speaking needed in social situations.  The interactions occur in authentic social contexts and include many physical and visual supports to support the communicative exchange. BICS are not considered as demanding cognitive tasks and the language required is not specialized.  These skills typically develop quickly in second language learners (one to two years). </w:t>
      </w:r>
    </w:p>
    <w:p w14:paraId="2E230394" w14:textId="07F384E8" w:rsidR="00870AEA" w:rsidRPr="00C52099" w:rsidRDefault="00455EBA">
      <w:pPr>
        <w:rPr>
          <w:rFonts w:cstheme="minorHAnsi"/>
          <w:sz w:val="24"/>
          <w:szCs w:val="24"/>
          <w:shd w:val="clear" w:color="auto" w:fill="FFFFFF"/>
        </w:rPr>
      </w:pPr>
      <w:r>
        <w:rPr>
          <w:rStyle w:val="FootnoteReference"/>
          <w:rFonts w:cstheme="minorHAnsi"/>
          <w:b/>
          <w:sz w:val="24"/>
          <w:szCs w:val="24"/>
          <w:shd w:val="clear" w:color="auto" w:fill="FFFFFF"/>
        </w:rPr>
        <w:footnoteReference w:id="2"/>
      </w:r>
      <w:r w:rsidR="00A610D0" w:rsidRPr="00870AEA">
        <w:rPr>
          <w:rFonts w:cstheme="minorHAnsi"/>
          <w:b/>
          <w:sz w:val="28"/>
          <w:szCs w:val="28"/>
          <w:shd w:val="clear" w:color="auto" w:fill="FFFFFF"/>
        </w:rPr>
        <w:t>CALP is Cognitive Academic Language Proficiency</w:t>
      </w:r>
      <w:r w:rsidR="00A610D0" w:rsidRPr="00123B3A">
        <w:rPr>
          <w:rFonts w:cstheme="minorHAnsi"/>
          <w:sz w:val="24"/>
          <w:szCs w:val="24"/>
          <w:shd w:val="clear" w:color="auto" w:fill="FFFFFF"/>
        </w:rPr>
        <w:t xml:space="preserve"> </w:t>
      </w:r>
      <w:r w:rsidR="00C52099">
        <w:rPr>
          <w:rFonts w:cstheme="minorHAnsi"/>
          <w:sz w:val="24"/>
          <w:szCs w:val="24"/>
          <w:shd w:val="clear" w:color="auto" w:fill="FFFFFF"/>
        </w:rPr>
        <w:t xml:space="preserve">and </w:t>
      </w:r>
      <w:r w:rsidR="00A610D0" w:rsidRPr="00123B3A">
        <w:rPr>
          <w:rFonts w:cstheme="minorHAnsi"/>
          <w:sz w:val="24"/>
          <w:szCs w:val="24"/>
          <w:shd w:val="clear" w:color="auto" w:fill="FFFFFF"/>
        </w:rPr>
        <w:t>refers to the students’ academic learning in the various subject areas.  This level of language learning is essential for students to succeed in school. It includes the oral and written production skills of speaking and writing and the oral and written comprehension skills of listening and reading in content areas.  As a student gets older the context of academic tasks is reduced and the language is more cognitively demanding, meaning </w:t>
      </w:r>
      <w:r w:rsidR="00A610D0" w:rsidRPr="00123B3A">
        <w:rPr>
          <w:rFonts w:cstheme="minorHAnsi"/>
          <w:sz w:val="24"/>
          <w:szCs w:val="24"/>
        </w:rPr>
        <w:t>that there are fewer clues or supports to help students </w:t>
      </w:r>
      <w:r w:rsidR="00A610D0" w:rsidRPr="00123B3A">
        <w:rPr>
          <w:rFonts w:cstheme="minorHAnsi"/>
          <w:sz w:val="24"/>
          <w:szCs w:val="24"/>
          <w:shd w:val="clear" w:color="auto" w:fill="FFFFFF"/>
        </w:rPr>
        <w:t>comprehend content information. This academic proficiency takes a much longer time to develop in second language learners (generally five to eight years).  </w:t>
      </w:r>
    </w:p>
    <w:p w14:paraId="2DD01A57" w14:textId="01CFA168" w:rsidR="001045BD" w:rsidRPr="00123B3A" w:rsidRDefault="00A610D0">
      <w:pPr>
        <w:rPr>
          <w:rFonts w:cstheme="minorHAnsi"/>
          <w:sz w:val="24"/>
          <w:szCs w:val="24"/>
          <w:shd w:val="clear" w:color="auto" w:fill="FFFFFF"/>
        </w:rPr>
      </w:pPr>
      <w:r w:rsidRPr="00870AEA">
        <w:rPr>
          <w:rStyle w:val="Strong"/>
          <w:rFonts w:cstheme="minorHAnsi"/>
          <w:sz w:val="28"/>
          <w:szCs w:val="28"/>
          <w:shd w:val="clear" w:color="auto" w:fill="FFFFFF"/>
        </w:rPr>
        <w:t>Common Underlying Proficiency Model</w:t>
      </w:r>
      <w:r w:rsidRPr="00870AEA">
        <w:rPr>
          <w:rFonts w:cstheme="minorHAnsi"/>
          <w:sz w:val="24"/>
          <w:szCs w:val="24"/>
          <w:shd w:val="clear" w:color="auto" w:fill="FFFFFF"/>
        </w:rPr>
        <w:br/>
      </w:r>
      <w:r w:rsidRPr="00123B3A">
        <w:rPr>
          <w:rFonts w:cstheme="minorHAnsi"/>
          <w:sz w:val="24"/>
          <w:szCs w:val="24"/>
          <w:shd w:val="clear" w:color="auto" w:fill="FFFFFF"/>
        </w:rPr>
        <w:t>The Common Underlying Proficiency model (Cummins, 1980a, 1981a, as cited in Baker, 2011) has frequently been described as the two icebergs model</w:t>
      </w:r>
      <w:r w:rsidR="00123B3A" w:rsidRPr="00123B3A">
        <w:rPr>
          <w:rFonts w:cstheme="minorHAnsi"/>
          <w:sz w:val="24"/>
          <w:szCs w:val="24"/>
          <w:shd w:val="clear" w:color="auto" w:fill="FFFFFF"/>
        </w:rPr>
        <w:t xml:space="preserve">.  </w:t>
      </w:r>
      <w:r w:rsidRPr="00123B3A">
        <w:rPr>
          <w:rFonts w:cstheme="minorHAnsi"/>
          <w:sz w:val="24"/>
          <w:szCs w:val="24"/>
          <w:shd w:val="clear" w:color="auto" w:fill="FFFFFF"/>
        </w:rPr>
        <w:t xml:space="preserve">The main idea behind </w:t>
      </w:r>
      <w:r w:rsidR="00123B3A" w:rsidRPr="00123B3A">
        <w:rPr>
          <w:rFonts w:cstheme="minorHAnsi"/>
          <w:sz w:val="24"/>
          <w:szCs w:val="24"/>
          <w:shd w:val="clear" w:color="auto" w:fill="FFFFFF"/>
        </w:rPr>
        <w:t xml:space="preserve">this theory </w:t>
      </w:r>
      <w:r w:rsidRPr="00123B3A">
        <w:rPr>
          <w:rFonts w:cstheme="minorHAnsi"/>
          <w:sz w:val="24"/>
          <w:szCs w:val="24"/>
          <w:shd w:val="clear" w:color="auto" w:fill="FFFFFF"/>
        </w:rPr>
        <w:t>is that when students learn one language, they acquire a bank of skills and implicit metalinguistic knowledge that they can draw upon when they learn subsequent languages.  Anything that is learned in either language become</w:t>
      </w:r>
      <w:r w:rsidR="00123B3A" w:rsidRPr="00123B3A">
        <w:rPr>
          <w:rFonts w:cstheme="minorHAnsi"/>
          <w:sz w:val="24"/>
          <w:szCs w:val="24"/>
          <w:shd w:val="clear" w:color="auto" w:fill="FFFFFF"/>
        </w:rPr>
        <w:t>s</w:t>
      </w:r>
      <w:r w:rsidRPr="00123B3A">
        <w:rPr>
          <w:rFonts w:cstheme="minorHAnsi"/>
          <w:sz w:val="24"/>
          <w:szCs w:val="24"/>
          <w:shd w:val="clear" w:color="auto" w:fill="FFFFFF"/>
        </w:rPr>
        <w:t xml:space="preserve"> part of th</w:t>
      </w:r>
      <w:r w:rsidR="00123B3A" w:rsidRPr="00123B3A">
        <w:rPr>
          <w:rFonts w:cstheme="minorHAnsi"/>
          <w:sz w:val="24"/>
          <w:szCs w:val="24"/>
          <w:shd w:val="clear" w:color="auto" w:fill="FFFFFF"/>
        </w:rPr>
        <w:t xml:space="preserve">e “bank” </w:t>
      </w:r>
      <w:r w:rsidRPr="00123B3A">
        <w:rPr>
          <w:rFonts w:cstheme="minorHAnsi"/>
          <w:sz w:val="24"/>
          <w:szCs w:val="24"/>
          <w:shd w:val="clear" w:color="auto" w:fill="FFFFFF"/>
        </w:rPr>
        <w:t>to be drawn upon when needed across languages.  This theory has also been used to explain why it becomes easier to learn a third or fourth language. </w:t>
      </w:r>
    </w:p>
    <w:p w14:paraId="4E9EFEAB" w14:textId="77777777" w:rsidR="00A610D0" w:rsidRDefault="001045BD">
      <w:pPr>
        <w:rPr>
          <w:rFonts w:ascii="Arial" w:hAnsi="Arial" w:cs="Arial"/>
          <w:color w:val="626262"/>
          <w:shd w:val="clear" w:color="auto" w:fill="FFFFFF"/>
        </w:rPr>
      </w:pPr>
      <w:r>
        <w:rPr>
          <w:noProof/>
          <w:lang w:val="en-US"/>
        </w:rPr>
        <w:lastRenderedPageBreak/>
        <w:drawing>
          <wp:inline distT="0" distB="0" distL="0" distR="0" wp14:anchorId="3013A911" wp14:editId="43F3E4AA">
            <wp:extent cx="5448300" cy="2644140"/>
            <wp:effectExtent l="0" t="0" r="0" b="381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9182" cy="2673687"/>
                    </a:xfrm>
                    <a:prstGeom prst="rect">
                      <a:avLst/>
                    </a:prstGeom>
                    <a:noFill/>
                    <a:ln>
                      <a:noFill/>
                    </a:ln>
                  </pic:spPr>
                </pic:pic>
              </a:graphicData>
            </a:graphic>
          </wp:inline>
        </w:drawing>
      </w:r>
    </w:p>
    <w:p w14:paraId="484FFBD1" w14:textId="0C48C72E" w:rsidR="001045BD" w:rsidRDefault="001045BD" w:rsidP="00C52099">
      <w:pPr>
        <w:ind w:left="720" w:firstLine="720"/>
        <w:rPr>
          <w:rFonts w:ascii="Arial" w:hAnsi="Arial" w:cs="Arial"/>
          <w:color w:val="626262"/>
          <w:shd w:val="clear" w:color="auto" w:fill="FFFFFF"/>
        </w:rPr>
      </w:pPr>
      <w:r>
        <w:rPr>
          <w:rFonts w:ascii="Arial" w:hAnsi="Arial" w:cs="Arial"/>
          <w:color w:val="626262"/>
          <w:shd w:val="clear" w:color="auto" w:fill="FFFFFF"/>
        </w:rPr>
        <w:t>(Baker, Foundations of Bilingual Education and Bilingualism)</w:t>
      </w:r>
    </w:p>
    <w:p w14:paraId="1C910294" w14:textId="13E48B0B" w:rsidR="00870AEA" w:rsidRDefault="00870AEA">
      <w:pPr>
        <w:rPr>
          <w:b/>
        </w:rPr>
      </w:pPr>
    </w:p>
    <w:p w14:paraId="41B6DF71" w14:textId="3B02E2CB" w:rsidR="0092604F" w:rsidRPr="00D834AF" w:rsidRDefault="0092604F">
      <w:pPr>
        <w:rPr>
          <w:b/>
          <w:sz w:val="28"/>
          <w:szCs w:val="28"/>
        </w:rPr>
      </w:pPr>
      <w:r w:rsidRPr="00D834AF">
        <w:rPr>
          <w:b/>
          <w:sz w:val="28"/>
          <w:szCs w:val="28"/>
        </w:rPr>
        <w:t>Implications for teachers</w:t>
      </w:r>
    </w:p>
    <w:p w14:paraId="5F7D1516" w14:textId="5CE0A9C3" w:rsidR="00B673A4" w:rsidRPr="007A0D7D" w:rsidRDefault="007A0D7D">
      <w:pPr>
        <w:rPr>
          <w:sz w:val="24"/>
          <w:szCs w:val="24"/>
        </w:rPr>
      </w:pPr>
      <w:r>
        <w:rPr>
          <w:sz w:val="24"/>
          <w:szCs w:val="24"/>
        </w:rPr>
        <w:t>Second language learners who display proficiency in everyday spoken language (BICs) don’t necessarily have the corresponding academic proficiency (CALP).</w:t>
      </w:r>
      <w:r w:rsidR="00B673A4">
        <w:rPr>
          <w:sz w:val="24"/>
          <w:szCs w:val="24"/>
        </w:rPr>
        <w:t xml:space="preserve">  Moving learners from BICs to CALP means </w:t>
      </w:r>
      <w:r w:rsidR="00C52099">
        <w:rPr>
          <w:sz w:val="24"/>
          <w:szCs w:val="24"/>
        </w:rPr>
        <w:t xml:space="preserve">engaging them in learning that challenges them </w:t>
      </w:r>
      <w:r w:rsidR="00B673A4">
        <w:rPr>
          <w:sz w:val="24"/>
          <w:szCs w:val="24"/>
        </w:rPr>
        <w:t xml:space="preserve">to think critically, and </w:t>
      </w:r>
      <w:r w:rsidR="00C52099">
        <w:rPr>
          <w:sz w:val="24"/>
          <w:szCs w:val="24"/>
        </w:rPr>
        <w:t xml:space="preserve">demands the use </w:t>
      </w:r>
      <w:r w:rsidR="00B673A4">
        <w:rPr>
          <w:sz w:val="24"/>
          <w:szCs w:val="24"/>
        </w:rPr>
        <w:t xml:space="preserve">of </w:t>
      </w:r>
      <w:r w:rsidR="00C52099">
        <w:rPr>
          <w:sz w:val="24"/>
          <w:szCs w:val="24"/>
        </w:rPr>
        <w:t xml:space="preserve">all </w:t>
      </w:r>
      <w:r w:rsidR="00B673A4">
        <w:rPr>
          <w:sz w:val="24"/>
          <w:szCs w:val="24"/>
        </w:rPr>
        <w:t>their linguistic resources in the learning process.  Similarly, conceptual knowledge developed in one language, can help t</w:t>
      </w:r>
      <w:r w:rsidR="00B40ABB">
        <w:rPr>
          <w:sz w:val="24"/>
          <w:szCs w:val="24"/>
        </w:rPr>
        <w:t>he learner make</w:t>
      </w:r>
      <w:r w:rsidR="00760AE5">
        <w:rPr>
          <w:sz w:val="24"/>
          <w:szCs w:val="24"/>
        </w:rPr>
        <w:t xml:space="preserve"> conceptual </w:t>
      </w:r>
      <w:r w:rsidR="00B40ABB">
        <w:rPr>
          <w:sz w:val="24"/>
          <w:szCs w:val="24"/>
        </w:rPr>
        <w:t xml:space="preserve"> connections in a second language.  </w:t>
      </w:r>
      <w:r w:rsidR="008A6F1C">
        <w:rPr>
          <w:sz w:val="24"/>
          <w:szCs w:val="24"/>
        </w:rPr>
        <w:t xml:space="preserve">It is important to recognise that second language learners already have a language base which can be leveraged off to help them acquire a subsequent language. </w:t>
      </w:r>
    </w:p>
    <w:p w14:paraId="579AD0E0" w14:textId="77777777" w:rsidR="00C52099" w:rsidRDefault="00C52099">
      <w:pPr>
        <w:rPr>
          <w:b/>
          <w:sz w:val="28"/>
          <w:szCs w:val="28"/>
        </w:rPr>
      </w:pPr>
    </w:p>
    <w:p w14:paraId="5A671D8C" w14:textId="31E920C4" w:rsidR="002A1BB1" w:rsidRPr="00870AEA" w:rsidRDefault="002A1BB1">
      <w:pPr>
        <w:rPr>
          <w:sz w:val="28"/>
          <w:szCs w:val="28"/>
        </w:rPr>
      </w:pPr>
      <w:r w:rsidRPr="00870AEA">
        <w:rPr>
          <w:b/>
          <w:sz w:val="28"/>
          <w:szCs w:val="28"/>
        </w:rPr>
        <w:t>He Rauemi</w:t>
      </w:r>
    </w:p>
    <w:p w14:paraId="00408AFC" w14:textId="5E921481" w:rsidR="002A1BB1" w:rsidRPr="00870AEA" w:rsidRDefault="002A1BB1" w:rsidP="002A1BB1">
      <w:pPr>
        <w:rPr>
          <w:sz w:val="24"/>
          <w:szCs w:val="24"/>
        </w:rPr>
      </w:pPr>
      <w:r w:rsidRPr="00870AEA">
        <w:rPr>
          <w:sz w:val="24"/>
          <w:szCs w:val="24"/>
        </w:rPr>
        <w:t xml:space="preserve">Baker, C. (2011) Foundations of Bilingual Education and Bilingualism, 5th edn (Bristol: Multilingual Matters) </w:t>
      </w:r>
      <w:hyperlink r:id="rId8" w:history="1">
        <w:r w:rsidRPr="00870AEA">
          <w:rPr>
            <w:rStyle w:val="Hyperlink"/>
            <w:sz w:val="24"/>
            <w:szCs w:val="24"/>
          </w:rPr>
          <w:t>https://scholar.google.co.nz/citations?user=cVGbBUEAAAAJ&amp;hl=en&amp;oi=sra</w:t>
        </w:r>
      </w:hyperlink>
    </w:p>
    <w:sectPr w:rsidR="002A1BB1" w:rsidRPr="00870A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BE94" w14:textId="77777777" w:rsidR="00F470C6" w:rsidRDefault="00F470C6" w:rsidP="005B53C8">
      <w:pPr>
        <w:spacing w:after="0" w:line="240" w:lineRule="auto"/>
      </w:pPr>
      <w:r>
        <w:separator/>
      </w:r>
    </w:p>
  </w:endnote>
  <w:endnote w:type="continuationSeparator" w:id="0">
    <w:p w14:paraId="622C0205" w14:textId="77777777" w:rsidR="00F470C6" w:rsidRDefault="00F470C6" w:rsidP="005B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3F0E" w14:textId="77777777" w:rsidR="00F470C6" w:rsidRDefault="00F470C6" w:rsidP="005B53C8">
      <w:pPr>
        <w:spacing w:after="0" w:line="240" w:lineRule="auto"/>
      </w:pPr>
      <w:r>
        <w:separator/>
      </w:r>
    </w:p>
  </w:footnote>
  <w:footnote w:type="continuationSeparator" w:id="0">
    <w:p w14:paraId="388D42AB" w14:textId="77777777" w:rsidR="00F470C6" w:rsidRDefault="00F470C6" w:rsidP="005B53C8">
      <w:pPr>
        <w:spacing w:after="0" w:line="240" w:lineRule="auto"/>
      </w:pPr>
      <w:r>
        <w:continuationSeparator/>
      </w:r>
    </w:p>
  </w:footnote>
  <w:footnote w:id="1">
    <w:p w14:paraId="6A252585" w14:textId="65B3C520" w:rsidR="00455EBA" w:rsidRPr="00455EBA" w:rsidRDefault="00455EBA" w:rsidP="00455EBA">
      <w:pPr>
        <w:rPr>
          <w:rFonts w:cstheme="minorHAnsi"/>
          <w:sz w:val="20"/>
          <w:szCs w:val="20"/>
        </w:rPr>
      </w:pPr>
      <w:r w:rsidRPr="00455EBA">
        <w:rPr>
          <w:rStyle w:val="FootnoteReference"/>
          <w:sz w:val="20"/>
          <w:szCs w:val="20"/>
        </w:rPr>
        <w:footnoteRef/>
      </w:r>
      <w:r w:rsidRPr="00455EBA">
        <w:rPr>
          <w:sz w:val="20"/>
          <w:szCs w:val="20"/>
        </w:rPr>
        <w:t xml:space="preserve"> </w:t>
      </w:r>
      <w:hyperlink r:id="rId1" w:history="1">
        <w:r w:rsidRPr="00455EBA">
          <w:rPr>
            <w:rStyle w:val="Hyperlink"/>
            <w:rFonts w:cstheme="minorHAnsi"/>
            <w:sz w:val="20"/>
            <w:szCs w:val="20"/>
          </w:rPr>
          <w:t>http://esl.fis.edu/teachers/support/cummin.htm</w:t>
        </w:r>
      </w:hyperlink>
    </w:p>
  </w:footnote>
  <w:footnote w:id="2">
    <w:p w14:paraId="5C0C7A11" w14:textId="77777777" w:rsidR="00455EBA" w:rsidRPr="00455EBA" w:rsidRDefault="00455EBA" w:rsidP="00455EBA">
      <w:pPr>
        <w:rPr>
          <w:rFonts w:cstheme="minorHAnsi"/>
          <w:sz w:val="20"/>
          <w:szCs w:val="20"/>
        </w:rPr>
      </w:pPr>
      <w:r w:rsidRPr="00455EBA">
        <w:rPr>
          <w:rStyle w:val="FootnoteReference"/>
          <w:sz w:val="20"/>
          <w:szCs w:val="20"/>
        </w:rPr>
        <w:footnoteRef/>
      </w:r>
      <w:r w:rsidRPr="00455EBA">
        <w:rPr>
          <w:sz w:val="20"/>
          <w:szCs w:val="20"/>
        </w:rPr>
        <w:t xml:space="preserve"> </w:t>
      </w:r>
      <w:hyperlink r:id="rId2" w:history="1">
        <w:r w:rsidRPr="00455EBA">
          <w:rPr>
            <w:rStyle w:val="Hyperlink"/>
            <w:rFonts w:cstheme="minorHAnsi"/>
            <w:sz w:val="20"/>
            <w:szCs w:val="20"/>
          </w:rPr>
          <w:t>http://eder66983.weebly.com/second-language-acquisition-theories.html</w:t>
        </w:r>
      </w:hyperlink>
    </w:p>
    <w:p w14:paraId="381434DC" w14:textId="0577B2A1" w:rsidR="00455EBA" w:rsidRDefault="00455E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8E0C" w14:textId="5D5DC666" w:rsidR="005B53C8" w:rsidRDefault="005B53C8" w:rsidP="005B53C8">
    <w:pPr>
      <w:pStyle w:val="Header"/>
    </w:pPr>
    <w:r>
      <w:rPr>
        <w:noProof/>
        <w:lang w:val="en-US"/>
      </w:rPr>
      <w:drawing>
        <wp:anchor distT="0" distB="0" distL="114300" distR="114300" simplePos="0" relativeHeight="251658240" behindDoc="0" locked="0" layoutInCell="1" allowOverlap="1" wp14:anchorId="1C4319B9" wp14:editId="61B04639">
          <wp:simplePos x="0" y="0"/>
          <wp:positionH relativeFrom="column">
            <wp:posOffset>-480060</wp:posOffset>
          </wp:positionH>
          <wp:positionV relativeFrom="paragraph">
            <wp:posOffset>-373380</wp:posOffset>
          </wp:positionV>
          <wp:extent cx="6607810" cy="975360"/>
          <wp:effectExtent l="0" t="0" r="2540" b="0"/>
          <wp:wrapSquare wrapText="bothSides"/>
          <wp:docPr id="1" name="Picture 1" descr="logo1 (2) print quality_Mar0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logo1 (2) print quality_Mar09"/>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975360"/>
                  </a:xfrm>
                  <a:prstGeom prst="rect">
                    <a:avLst/>
                  </a:prstGeom>
                  <a:noFill/>
                </pic:spPr>
              </pic:pic>
            </a:graphicData>
          </a:graphic>
          <wp14:sizeRelH relativeFrom="margin">
            <wp14:pctWidth>0</wp14:pctWidth>
          </wp14:sizeRelH>
          <wp14:sizeRelV relativeFrom="margin">
            <wp14:pctHeight>0</wp14:pctHeight>
          </wp14:sizeRelV>
        </wp:anchor>
      </w:drawing>
    </w:r>
  </w:p>
  <w:p w14:paraId="5BDC32E8" w14:textId="77777777" w:rsidR="005B53C8" w:rsidRDefault="005B53C8" w:rsidP="005B53C8">
    <w:pPr>
      <w:pStyle w:val="Header"/>
    </w:pPr>
  </w:p>
  <w:p w14:paraId="2999D23D" w14:textId="77777777" w:rsidR="005B53C8" w:rsidRDefault="005B53C8" w:rsidP="005B53C8">
    <w:pPr>
      <w:pStyle w:val="Header"/>
    </w:pPr>
  </w:p>
  <w:p w14:paraId="0D232D7A" w14:textId="77777777" w:rsidR="005B53C8" w:rsidRDefault="005B53C8" w:rsidP="005B53C8">
    <w:pPr>
      <w:pStyle w:val="Header"/>
    </w:pPr>
  </w:p>
  <w:p w14:paraId="356CBE24" w14:textId="0C275E6A" w:rsidR="005B53C8" w:rsidRDefault="005B53C8">
    <w:pPr>
      <w:pStyle w:val="Header"/>
    </w:pPr>
  </w:p>
  <w:p w14:paraId="5EC350DB" w14:textId="77777777" w:rsidR="005B53C8" w:rsidRDefault="005B5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795"/>
    <w:rsid w:val="000746BF"/>
    <w:rsid w:val="001045BD"/>
    <w:rsid w:val="00123B3A"/>
    <w:rsid w:val="001349BD"/>
    <w:rsid w:val="00196A6D"/>
    <w:rsid w:val="002A1BB1"/>
    <w:rsid w:val="0030450C"/>
    <w:rsid w:val="00455EBA"/>
    <w:rsid w:val="005B53C8"/>
    <w:rsid w:val="00760AE5"/>
    <w:rsid w:val="007A0D7D"/>
    <w:rsid w:val="007E5172"/>
    <w:rsid w:val="00870AEA"/>
    <w:rsid w:val="00891795"/>
    <w:rsid w:val="008A6F1C"/>
    <w:rsid w:val="008D576F"/>
    <w:rsid w:val="0092604F"/>
    <w:rsid w:val="00964D69"/>
    <w:rsid w:val="00A32D5D"/>
    <w:rsid w:val="00A610D0"/>
    <w:rsid w:val="00A61503"/>
    <w:rsid w:val="00B40ABB"/>
    <w:rsid w:val="00B673A4"/>
    <w:rsid w:val="00C52099"/>
    <w:rsid w:val="00D834AF"/>
    <w:rsid w:val="00DB4C80"/>
    <w:rsid w:val="00EA2BC5"/>
    <w:rsid w:val="00EB3006"/>
    <w:rsid w:val="00F470C6"/>
  </w:rsids>
  <m:mathPr>
    <m:mathFont m:val="Cambria Math"/>
    <m:brkBin m:val="before"/>
    <m:brkBinSub m:val="--"/>
    <m:smallFrac m:val="0"/>
    <m:dispDef/>
    <m:lMargin m:val="0"/>
    <m:rMargin m:val="0"/>
    <m:defJc m:val="centerGroup"/>
    <m:wrapIndent m:val="1440"/>
    <m:intLim m:val="subSup"/>
    <m:naryLim m:val="undOvr"/>
  </m:mathPr>
  <w:themeFontLang w:val="mi-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1123D"/>
  <w15:chartTrackingRefBased/>
  <w15:docId w15:val="{54937BAD-0C8C-4D2E-82E9-2DB3D4EC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i-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3C8"/>
  </w:style>
  <w:style w:type="paragraph" w:styleId="Footer">
    <w:name w:val="footer"/>
    <w:basedOn w:val="Normal"/>
    <w:link w:val="FooterChar"/>
    <w:uiPriority w:val="99"/>
    <w:unhideWhenUsed/>
    <w:rsid w:val="005B5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3C8"/>
  </w:style>
  <w:style w:type="character" w:styleId="Hyperlink">
    <w:name w:val="Hyperlink"/>
    <w:basedOn w:val="DefaultParagraphFont"/>
    <w:uiPriority w:val="99"/>
    <w:unhideWhenUsed/>
    <w:rsid w:val="001045BD"/>
    <w:rPr>
      <w:color w:val="0000FF" w:themeColor="hyperlink"/>
      <w:u w:val="single"/>
    </w:rPr>
  </w:style>
  <w:style w:type="character" w:customStyle="1" w:styleId="UnresolvedMention1">
    <w:name w:val="Unresolved Mention1"/>
    <w:basedOn w:val="DefaultParagraphFont"/>
    <w:uiPriority w:val="99"/>
    <w:semiHidden/>
    <w:unhideWhenUsed/>
    <w:rsid w:val="001045BD"/>
    <w:rPr>
      <w:color w:val="808080"/>
      <w:shd w:val="clear" w:color="auto" w:fill="E6E6E6"/>
    </w:rPr>
  </w:style>
  <w:style w:type="character" w:styleId="Strong">
    <w:name w:val="Strong"/>
    <w:basedOn w:val="DefaultParagraphFont"/>
    <w:uiPriority w:val="22"/>
    <w:qFormat/>
    <w:rsid w:val="00A610D0"/>
    <w:rPr>
      <w:b/>
      <w:bCs/>
    </w:rPr>
  </w:style>
  <w:style w:type="character" w:customStyle="1" w:styleId="gscomsmm">
    <w:name w:val="gsc_oms_mm"/>
    <w:basedOn w:val="DefaultParagraphFont"/>
    <w:rsid w:val="002A1BB1"/>
  </w:style>
  <w:style w:type="paragraph" w:styleId="EndnoteText">
    <w:name w:val="endnote text"/>
    <w:basedOn w:val="Normal"/>
    <w:link w:val="EndnoteTextChar"/>
    <w:uiPriority w:val="99"/>
    <w:semiHidden/>
    <w:unhideWhenUsed/>
    <w:rsid w:val="00455E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5EBA"/>
    <w:rPr>
      <w:sz w:val="20"/>
      <w:szCs w:val="20"/>
    </w:rPr>
  </w:style>
  <w:style w:type="character" w:styleId="EndnoteReference">
    <w:name w:val="endnote reference"/>
    <w:basedOn w:val="DefaultParagraphFont"/>
    <w:uiPriority w:val="99"/>
    <w:semiHidden/>
    <w:unhideWhenUsed/>
    <w:rsid w:val="00455EBA"/>
    <w:rPr>
      <w:vertAlign w:val="superscript"/>
    </w:rPr>
  </w:style>
  <w:style w:type="paragraph" w:styleId="FootnoteText">
    <w:name w:val="footnote text"/>
    <w:basedOn w:val="Normal"/>
    <w:link w:val="FootnoteTextChar"/>
    <w:uiPriority w:val="99"/>
    <w:semiHidden/>
    <w:unhideWhenUsed/>
    <w:rsid w:val="00455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EBA"/>
    <w:rPr>
      <w:sz w:val="20"/>
      <w:szCs w:val="20"/>
    </w:rPr>
  </w:style>
  <w:style w:type="character" w:styleId="FootnoteReference">
    <w:name w:val="footnote reference"/>
    <w:basedOn w:val="DefaultParagraphFont"/>
    <w:uiPriority w:val="99"/>
    <w:semiHidden/>
    <w:unhideWhenUsed/>
    <w:rsid w:val="00455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974">
      <w:bodyDiv w:val="1"/>
      <w:marLeft w:val="0"/>
      <w:marRight w:val="0"/>
      <w:marTop w:val="0"/>
      <w:marBottom w:val="0"/>
      <w:divBdr>
        <w:top w:val="none" w:sz="0" w:space="0" w:color="auto"/>
        <w:left w:val="none" w:sz="0" w:space="0" w:color="auto"/>
        <w:bottom w:val="none" w:sz="0" w:space="0" w:color="auto"/>
        <w:right w:val="none" w:sz="0" w:space="0" w:color="auto"/>
      </w:divBdr>
    </w:div>
    <w:div w:id="975766098">
      <w:bodyDiv w:val="1"/>
      <w:marLeft w:val="0"/>
      <w:marRight w:val="0"/>
      <w:marTop w:val="0"/>
      <w:marBottom w:val="0"/>
      <w:divBdr>
        <w:top w:val="none" w:sz="0" w:space="0" w:color="auto"/>
        <w:left w:val="none" w:sz="0" w:space="0" w:color="auto"/>
        <w:bottom w:val="none" w:sz="0" w:space="0" w:color="auto"/>
        <w:right w:val="none" w:sz="0" w:space="0" w:color="auto"/>
      </w:divBdr>
    </w:div>
    <w:div w:id="12147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nz/citations?user=cVGbBUEAAAAJ&amp;hl=en&amp;oi=sr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eder66983.weebly.com/second-language-acquisition-theories.html" TargetMode="External"/><Relationship Id="rId1" Type="http://schemas.openxmlformats.org/officeDocument/2006/relationships/hyperlink" Target="http://esl.fis.edu/teachers/support/cummi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7" ma:contentTypeDescription="Create a new document." ma:contentTypeScope="" ma:versionID="137cc16d8f846496875c7f6167d66209">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9c19c0dc5103f5ceda2f93f2b4eb6147"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aupapa" ma:index="19"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19362-e3b9-471e-9270-d0c3b98fdce4}" ma:internalName="TaxCatchAll" ma:showField="CatchAllData" ma:web="58c16207-c6ed-49cc-9d1d-ddf004bf8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8c16207-c6ed-49cc-9d1d-ddf004bf888b" xsi:nil="true"/>
    <lcf76f155ced4ddcb4097134ff3c332f xmlns="7f020947-6725-49a6-954e-3a5bfa9bc7d0">
      <Terms xmlns="http://schemas.microsoft.com/office/infopath/2007/PartnerControls"/>
    </lcf76f155ced4ddcb4097134ff3c332f>
    <Kaupapa xmlns="7f020947-6725-49a6-954e-3a5bfa9bc7d0" xsi:nil="true"/>
  </documentManagement>
</p:properties>
</file>

<file path=customXml/itemProps1.xml><?xml version="1.0" encoding="utf-8"?>
<ds:datastoreItem xmlns:ds="http://schemas.openxmlformats.org/officeDocument/2006/customXml" ds:itemID="{3FE4E32C-4502-6C4E-BF3E-2273C98C2BB2}">
  <ds:schemaRefs>
    <ds:schemaRef ds:uri="http://schemas.openxmlformats.org/officeDocument/2006/bibliography"/>
  </ds:schemaRefs>
</ds:datastoreItem>
</file>

<file path=customXml/itemProps2.xml><?xml version="1.0" encoding="utf-8"?>
<ds:datastoreItem xmlns:ds="http://schemas.openxmlformats.org/officeDocument/2006/customXml" ds:itemID="{73EDF876-3E70-4715-95F8-0C9A4D820BAC}"/>
</file>

<file path=customXml/itemProps3.xml><?xml version="1.0" encoding="utf-8"?>
<ds:datastoreItem xmlns:ds="http://schemas.openxmlformats.org/officeDocument/2006/customXml" ds:itemID="{36065218-C5D3-4262-99C8-A4D5697DD820}"/>
</file>

<file path=customXml/itemProps4.xml><?xml version="1.0" encoding="utf-8"?>
<ds:datastoreItem xmlns:ds="http://schemas.openxmlformats.org/officeDocument/2006/customXml" ds:itemID="{B7C86321-CA6D-47CF-A889-7F6D807AC4EC}"/>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Awhina Gray</dc:creator>
  <cp:keywords/>
  <dc:description/>
  <cp:lastModifiedBy>Shyree Reedy</cp:lastModifiedBy>
  <cp:revision>2</cp:revision>
  <dcterms:created xsi:type="dcterms:W3CDTF">2022-03-23T20:54:00Z</dcterms:created>
  <dcterms:modified xsi:type="dcterms:W3CDTF">2022-03-23T20:54:00Z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ies>
</file>